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GDPR Data Retention Policy</w:t>
      </w:r>
    </w:p>
    <w:p>
      <w:pPr>
        <w:jc w:val="center"/>
      </w:pPr>
      <w:r>
        <w:rPr>
          <w:i/>
          <w:color w:val="3A2B24"/>
          <w:sz w:val="22"/>
        </w:rPr>
        <w:t>[Business Name]</w:t>
      </w:r>
    </w:p>
    <w:p/>
    <w:p>
      <w:r>
        <w:rPr>
          <w:b/>
          <w:color w:val="7F9D72"/>
          <w:sz w:val="26"/>
        </w:rPr>
        <w:t>1. Purpose</w:t>
      </w:r>
    </w:p>
    <w:p>
      <w:r>
        <w:rPr>
          <w:sz w:val="20"/>
        </w:rPr>
        <w:t>This policy specifies the retention period for each type of data, the action at the end of the period, and the procedure for handling data subject requests.</w:t>
      </w:r>
    </w:p>
    <w:p/>
    <w:p>
      <w:r>
        <w:rPr>
          <w:b/>
          <w:color w:val="7F9D72"/>
          <w:sz w:val="26"/>
        </w:rPr>
        <w:t>2. Scope</w:t>
      </w:r>
    </w:p>
    <w:p>
      <w:r>
        <w:rPr>
          <w:sz w:val="20"/>
        </w:rPr>
        <w:t>This policy applies to all personal data processed by [Business Name], including customer data, staff data, and supplier data.</w:t>
      </w:r>
    </w:p>
    <w:p/>
    <w:p>
      <w:r>
        <w:rPr>
          <w:b/>
          <w:color w:val="7F9D72"/>
          <w:sz w:val="26"/>
        </w:rPr>
        <w:t>3. Retention periods</w:t>
      </w:r>
    </w:p>
    <w:p>
      <w:r>
        <w:rPr>
          <w:sz w:val="20"/>
        </w:rPr>
        <w:t>The retention periods are determined by the legal, regulatory, and operational requirements. The typical periods are:</w:t>
      </w:r>
    </w:p>
    <w:p>
      <w:r>
        <w:rPr>
          <w:sz w:val="20"/>
        </w:rPr>
        <w:t>— Customer data: 3 years from the last interaction (or longer if required by HMRC)</w:t>
      </w:r>
    </w:p>
    <w:p>
      <w:r>
        <w:rPr>
          <w:sz w:val="20"/>
        </w:rPr>
        <w:t>— Staff data: 6 years from the end of employment (per HMRC and HMRC guidance)</w:t>
      </w:r>
    </w:p>
    <w:p>
      <w:r>
        <w:rPr>
          <w:sz w:val="20"/>
        </w:rPr>
        <w:t>— Supplier data: 6 years from the end of the contract (per HMRC)</w:t>
      </w:r>
    </w:p>
    <w:p>
      <w:r>
        <w:rPr>
          <w:sz w:val="20"/>
        </w:rPr>
        <w:t>— Marketing data: until consent is withdrawn</w:t>
      </w:r>
    </w:p>
    <w:p>
      <w:r>
        <w:rPr>
          <w:sz w:val="20"/>
        </w:rPr>
        <w:t>— CCTV footage: 30 days (longer if required for an investigation)</w:t>
      </w:r>
    </w:p>
    <w:p/>
    <w:p>
      <w:r>
        <w:rPr>
          <w:b/>
          <w:color w:val="7F9D72"/>
          <w:sz w:val="26"/>
        </w:rPr>
        <w:t>4. Action at the end of the period</w:t>
      </w:r>
    </w:p>
    <w:p>
      <w:r>
        <w:rPr>
          <w:sz w:val="20"/>
        </w:rPr>
        <w:t>At the end of the retention period, the data is:</w:t>
      </w:r>
    </w:p>
    <w:p>
      <w:r>
        <w:rPr>
          <w:sz w:val="20"/>
        </w:rPr>
        <w:t>— Securely deleted from all systems (electronic and paper)</w:t>
      </w:r>
    </w:p>
    <w:p>
      <w:r>
        <w:rPr>
          <w:sz w:val="20"/>
        </w:rPr>
        <w:t>— Recorded in the data deletion log</w:t>
      </w:r>
    </w:p>
    <w:p>
      <w:r>
        <w:rPr>
          <w:sz w:val="20"/>
        </w:rPr>
        <w:t>— Verified as deleted (e.g. by checking the system or by a destruction certificate)</w:t>
      </w:r>
    </w:p>
    <w:p/>
    <w:p>
      <w:r>
        <w:rPr>
          <w:b/>
          <w:color w:val="7F9D72"/>
          <w:sz w:val="26"/>
        </w:rPr>
        <w:t>5. Data subject rights</w:t>
      </w:r>
    </w:p>
    <w:p>
      <w:r>
        <w:rPr>
          <w:sz w:val="20"/>
        </w:rPr>
        <w:t>The operator respects the data subject rights under the UK GDPR:</w:t>
      </w:r>
    </w:p>
    <w:p>
      <w:r>
        <w:rPr>
          <w:sz w:val="20"/>
        </w:rPr>
        <w:t>— Right of access (subject can request a copy of their data)</w:t>
      </w:r>
    </w:p>
    <w:p>
      <w:r>
        <w:rPr>
          <w:sz w:val="20"/>
        </w:rPr>
        <w:t>— Right of rectification (subject can request correction of inaccurate data)</w:t>
      </w:r>
    </w:p>
    <w:p>
      <w:r>
        <w:rPr>
          <w:sz w:val="20"/>
        </w:rPr>
        <w:t>— Right of erasure (subject can request deletion of their data, where applicable)</w:t>
      </w:r>
    </w:p>
    <w:p>
      <w:r>
        <w:rPr>
          <w:sz w:val="20"/>
        </w:rPr>
        <w:t>— Right to restrict processing (subject can request that processing is limited)</w:t>
      </w:r>
    </w:p>
    <w:p>
      <w:r>
        <w:rPr>
          <w:sz w:val="20"/>
        </w:rPr>
        <w:t>— Right to data portability (subject can request their data in a portable format)</w:t>
      </w:r>
    </w:p>
    <w:p>
      <w:r>
        <w:rPr>
          <w:sz w:val="20"/>
        </w:rPr>
        <w:t>— Right to object (subject can object to processing for direct marketing or other purposes)</w:t>
      </w:r>
    </w:p>
    <w:p/>
    <w:p>
      <w:r>
        <w:rPr>
          <w:b/>
          <w:color w:val="7F9D72"/>
          <w:sz w:val="26"/>
        </w:rPr>
        <w:t>6. Data subject request procedure</w:t>
      </w:r>
    </w:p>
    <w:p>
      <w:r>
        <w:rPr>
          <w:sz w:val="20"/>
        </w:rPr>
        <w:t>When a data subject makes a request:</w:t>
      </w:r>
    </w:p>
    <w:p>
      <w:r>
        <w:rPr>
          <w:sz w:val="20"/>
        </w:rPr>
        <w:t>1. Verify the identity of the requester (to prevent unauthorised disclosure).</w:t>
      </w:r>
    </w:p>
    <w:p>
      <w:r>
        <w:rPr>
          <w:sz w:val="20"/>
        </w:rPr>
        <w:t>2. Log the request in the data subject requests log.</w:t>
      </w:r>
    </w:p>
    <w:p>
      <w:r>
        <w:rPr>
          <w:sz w:val="20"/>
        </w:rPr>
        <w:t>3. Acknowledge the request within 1 month (extendable to 3 months for complex requests, with notice).</w:t>
      </w:r>
    </w:p>
    <w:p>
      <w:r>
        <w:rPr>
          <w:sz w:val="20"/>
        </w:rPr>
        <w:t>4. Respond to the request within the deadline. Provide the data in a portable format if requested.</w:t>
      </w:r>
    </w:p>
    <w:p>
      <w:r>
        <w:rPr>
          <w:sz w:val="20"/>
        </w:rPr>
        <w:t>5. Record the response in the data subject requests log.</w:t>
      </w:r>
    </w:p>
    <w:p/>
    <w:p>
      <w:r>
        <w:rPr>
          <w:b/>
          <w:color w:val="7F9D72"/>
          <w:sz w:val="26"/>
        </w:rPr>
        <w:t>7. Data breach response</w:t>
      </w:r>
    </w:p>
    <w:p>
      <w:r>
        <w:rPr>
          <w:sz w:val="20"/>
        </w:rPr>
        <w:t>If a data breach is identified:</w:t>
      </w:r>
    </w:p>
    <w:p>
      <w:r>
        <w:rPr>
          <w:sz w:val="20"/>
        </w:rPr>
        <w:t>1. Contain the breach (stop the unauthorised access).</w:t>
      </w:r>
    </w:p>
    <w:p>
      <w:r>
        <w:rPr>
          <w:sz w:val="20"/>
        </w:rPr>
        <w:t>2. Assess the risk to data subjects (low / high).</w:t>
      </w:r>
    </w:p>
    <w:p>
      <w:r>
        <w:rPr>
          <w:sz w:val="20"/>
        </w:rPr>
        <w:t>3. Notify the ICO within 72 hours if the risk is high.</w:t>
      </w:r>
    </w:p>
    <w:p>
      <w:r>
        <w:rPr>
          <w:sz w:val="20"/>
        </w:rPr>
        <w:t>4. Notify the affected data subjects if the risk is high.</w:t>
      </w:r>
    </w:p>
    <w:p>
      <w:r>
        <w:rPr>
          <w:sz w:val="20"/>
        </w:rPr>
        <w:t>5. Document the breach in the data breach log.</w:t>
      </w:r>
    </w:p>
    <w:p>
      <w:r>
        <w:rPr>
          <w:sz w:val="20"/>
        </w:rPr>
        <w:t>6. Review the incident and update the security measures.</w:t>
      </w:r>
    </w:p>
    <w:p/>
    <w:p>
      <w:r>
        <w:rPr>
          <w:b/>
          <w:color w:val="7F9D72"/>
          <w:sz w:val="26"/>
        </w:rPr>
        <w:t>8. Review</w:t>
      </w:r>
    </w:p>
    <w:p>
      <w:r>
        <w:rPr>
          <w:sz w:val="20"/>
        </w:rPr>
        <w:t>This policy is reviewed annually, or sooner if there is a change in the law or in the operator's data processing activities.</w:t>
      </w:r>
    </w:p>
    <w:p>
      <w:r>
        <w:rPr>
          <w:sz w:val="20"/>
        </w:rPr>
        <w:t>Date:  ________________________________________________</w:t>
      </w:r>
    </w:p>
    <w:p>
      <w:r>
        <w:rPr>
          <w:sz w:val="20"/>
        </w:rPr>
        <w:t>Review: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