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Fire — What To Do</w:t>
      </w:r>
    </w:p>
    <w:p/>
    <w:p>
      <w:r>
        <w:rPr>
          <w:b/>
          <w:color w:val="7F9D72"/>
          <w:sz w:val="26"/>
        </w:rPr>
        <w:t>Fire response steps</w:t>
      </w:r>
    </w:p>
    <w:p>
      <w:r>
        <w:rPr>
          <w:sz w:val="20"/>
        </w:rPr>
        <w:t>1. ALARM: Note the time. Get everyone up.</w:t>
      </w:r>
    </w:p>
    <w:p>
      <w:r>
        <w:rPr>
          <w:sz w:val="20"/>
        </w:rPr>
        <w:t>2. ASSESS: Where is the fire? Is it small and contained? Yes → attempt to extinguish with appropriate extinguisher. No → go to step 3.</w:t>
      </w:r>
    </w:p>
    <w:p>
      <w:r>
        <w:rPr>
          <w:sz w:val="20"/>
        </w:rPr>
        <w:t>3. EVACUATE: Take slip leads from drawer. Lead dogs one at a time to the assembly point (front garden, by the gate). Count dogs on exit.</w:t>
      </w:r>
    </w:p>
    <w:p>
      <w:r>
        <w:rPr>
          <w:sz w:val="20"/>
        </w:rPr>
        <w:t>4. CALL 999: State address, nature of fire, number of dogs evacuated, number of people on site. Do not hang up until told.</w:t>
      </w:r>
    </w:p>
    <w:p>
      <w:r>
        <w:rPr>
          <w:sz w:val="20"/>
        </w:rPr>
        <w:t>5. DO NOT RE-ENTER until fire service says safe.</w:t>
      </w:r>
    </w:p>
    <w:p>
      <w:r>
        <w:rPr>
          <w:sz w:val="20"/>
        </w:rPr>
        <w:t>6. WHEN SAFE: Count dogs. Check for smoke inhalation. Contact vet if any dog shows signs. Contact all owners. Document the incident in the IRF (Incident Report Form).</w:t>
      </w:r>
    </w:p>
    <w:p>
      <w:r>
        <w:rPr>
          <w:sz w:val="20"/>
        </w:rPr>
        <w:t>Fire extinguisher location (kitchen):  ________________________________________________</w:t>
      </w:r>
    </w:p>
    <w:p>
      <w:r>
        <w:rPr>
          <w:sz w:val="20"/>
        </w:rPr>
        <w:t>Fire extinguisher location (hall):  ________________________________________________</w:t>
      </w:r>
    </w:p>
    <w:p>
      <w:r>
        <w:rPr>
          <w:sz w:val="20"/>
        </w:rPr>
        <w:t>Assembly point:  ________________________________________________</w:t>
      </w:r>
    </w:p>
    <w:p>
      <w:r>
        <w:rPr>
          <w:sz w:val="20"/>
        </w:rPr>
        <w:t>Emergency contact (Fire):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