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Aggressive Incident — What To Do</w:t>
      </w:r>
    </w:p>
    <w:p/>
    <w:p>
      <w:r>
        <w:rPr>
          <w:b/>
          <w:color w:val="7F9D72"/>
          <w:sz w:val="26"/>
        </w:rPr>
        <w:t>Aggressive incident response steps</w:t>
      </w:r>
    </w:p>
    <w:p>
      <w:r>
        <w:rPr>
          <w:sz w:val="20"/>
        </w:rPr>
        <w:t>1. INTERRUPT: Loud noise ("STOP!"), air horn, bucket of water, board between the dogs. DO NOT use your hands.</w:t>
      </w:r>
    </w:p>
    <w:p>
      <w:r>
        <w:rPr>
          <w:sz w:val="20"/>
        </w:rPr>
        <w:t>2. SEPARATE: Once separated, secure each dog in a different area. Do not bring them back together.</w:t>
      </w:r>
    </w:p>
    <w:p>
      <w:r>
        <w:rPr>
          <w:sz w:val="20"/>
        </w:rPr>
        <w:t>3. CHECK INJURY: Both dogs. Any human involved. Dog bites to humans require medical attention.</w:t>
      </w:r>
    </w:p>
    <w:p>
      <w:r>
        <w:rPr>
          <w:sz w:val="20"/>
        </w:rPr>
        <w:t>4. CALL VET: For both dogs. State names, signs, what happened. Follow advice.</w:t>
      </w:r>
    </w:p>
    <w:p>
      <w:r>
        <w:rPr>
          <w:sz w:val="20"/>
        </w:rPr>
        <w:t>5. CALL OWNERS: Both owners. Inform calmly. Discuss whether the aggressor can safely continue to board.</w:t>
      </w:r>
    </w:p>
    <w:p>
      <w:r>
        <w:rPr>
          <w:sz w:val="20"/>
        </w:rPr>
        <w:t>6. DOCUMENT: Complete the IRF within 24 hours. Review the mixing policy and the compatibility assessment.</w:t>
      </w:r>
    </w:p>
    <w:p>
      <w:r>
        <w:rPr>
          <w:sz w:val="20"/>
        </w:rPr>
        <w:t>Emergency number (human injury):  ________________________________________________</w:t>
      </w:r>
    </w:p>
    <w:p>
      <w:r>
        <w:rPr>
          <w:sz w:val="20"/>
        </w:rPr>
        <w:t>Vet phone: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